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BD0E3" w14:textId="57ACEED0" w:rsidR="008E77ED" w:rsidRPr="00A1519B" w:rsidRDefault="008E77ED" w:rsidP="00324A28">
      <w:pPr>
        <w:spacing w:after="0" w:line="240" w:lineRule="auto"/>
        <w:rPr>
          <w:rFonts w:cstheme="minorHAnsi"/>
          <w:color w:val="808080" w:themeColor="background1" w:themeShade="80"/>
        </w:rPr>
      </w:pPr>
    </w:p>
    <w:p w14:paraId="2052928E" w14:textId="15AF2AFE" w:rsidR="00E2743C" w:rsidRPr="00A1519B" w:rsidRDefault="00E2743C" w:rsidP="00324A28">
      <w:pPr>
        <w:spacing w:after="0" w:line="240" w:lineRule="auto"/>
        <w:rPr>
          <w:rFonts w:cstheme="minorHAnsi"/>
          <w:b/>
          <w:bCs/>
        </w:rPr>
      </w:pPr>
      <w:r w:rsidRPr="00A1519B">
        <w:rPr>
          <w:rFonts w:cstheme="minorHAnsi"/>
          <w:b/>
          <w:bCs/>
        </w:rPr>
        <w:t>Memorandum</w:t>
      </w:r>
    </w:p>
    <w:p w14:paraId="7C1111E2" w14:textId="35E81379" w:rsidR="00E2743C" w:rsidRPr="00A1519B" w:rsidRDefault="00E2743C" w:rsidP="00324A28">
      <w:pPr>
        <w:spacing w:after="0" w:line="240" w:lineRule="auto"/>
        <w:rPr>
          <w:rFonts w:cstheme="minorHAnsi"/>
        </w:rPr>
      </w:pPr>
    </w:p>
    <w:p w14:paraId="233FD2EA" w14:textId="34671FB1" w:rsidR="00E2743C" w:rsidRPr="00A1519B" w:rsidRDefault="00E2743C" w:rsidP="00324A28">
      <w:pPr>
        <w:spacing w:after="0" w:line="240" w:lineRule="auto"/>
        <w:rPr>
          <w:rFonts w:cstheme="minorHAnsi"/>
        </w:rPr>
      </w:pPr>
      <w:r w:rsidRPr="00A1519B">
        <w:rPr>
          <w:rFonts w:cstheme="minorHAnsi"/>
        </w:rPr>
        <w:t>TO:</w:t>
      </w:r>
      <w:r w:rsidRPr="00A1519B">
        <w:rPr>
          <w:rFonts w:cstheme="minorHAnsi"/>
        </w:rPr>
        <w:tab/>
      </w:r>
      <w:r w:rsidRPr="00A1519B">
        <w:rPr>
          <w:rFonts w:cstheme="minorHAnsi"/>
        </w:rPr>
        <w:tab/>
        <w:t>Local Governments participating in Coronavirus Relief Funds (CRF-2)</w:t>
      </w:r>
    </w:p>
    <w:p w14:paraId="73378EE8" w14:textId="357250AB" w:rsidR="00E2743C" w:rsidRPr="00A1519B" w:rsidRDefault="00E2743C" w:rsidP="00324A28">
      <w:pPr>
        <w:spacing w:after="0" w:line="240" w:lineRule="auto"/>
        <w:rPr>
          <w:rFonts w:cstheme="minorHAnsi"/>
        </w:rPr>
      </w:pPr>
    </w:p>
    <w:p w14:paraId="7D8D89A8" w14:textId="6BD84D52" w:rsidR="00E2743C" w:rsidRPr="00A1519B" w:rsidRDefault="00E2743C" w:rsidP="00324A28">
      <w:pPr>
        <w:spacing w:after="0" w:line="240" w:lineRule="auto"/>
        <w:rPr>
          <w:rFonts w:cstheme="minorHAnsi"/>
        </w:rPr>
      </w:pPr>
      <w:r w:rsidRPr="00A1519B">
        <w:rPr>
          <w:rFonts w:cstheme="minorHAnsi"/>
        </w:rPr>
        <w:t>FROM:</w:t>
      </w:r>
      <w:r w:rsidRPr="00A1519B">
        <w:rPr>
          <w:rFonts w:cstheme="minorHAnsi"/>
        </w:rPr>
        <w:tab/>
      </w:r>
      <w:r w:rsidRPr="00A1519B">
        <w:rPr>
          <w:rFonts w:cstheme="minorHAnsi"/>
        </w:rPr>
        <w:tab/>
        <w:t>Robert Dearduff, Assistant Director of Special Programs</w:t>
      </w:r>
    </w:p>
    <w:p w14:paraId="4B894BF6" w14:textId="641B2D69" w:rsidR="00E2743C" w:rsidRPr="00A1519B" w:rsidRDefault="00E2743C" w:rsidP="00324A28">
      <w:pPr>
        <w:spacing w:after="0" w:line="240" w:lineRule="auto"/>
        <w:rPr>
          <w:rFonts w:cstheme="minorHAnsi"/>
        </w:rPr>
      </w:pPr>
      <w:bookmarkStart w:id="0" w:name="_GoBack"/>
      <w:bookmarkEnd w:id="0"/>
    </w:p>
    <w:p w14:paraId="79C0387E" w14:textId="6CAB720E" w:rsidR="00E2743C" w:rsidRPr="00A1519B" w:rsidRDefault="00E2743C" w:rsidP="00E2743C">
      <w:pPr>
        <w:spacing w:after="0" w:line="240" w:lineRule="auto"/>
        <w:rPr>
          <w:rFonts w:cstheme="minorHAnsi"/>
        </w:rPr>
      </w:pPr>
      <w:r w:rsidRPr="00A1519B">
        <w:rPr>
          <w:rFonts w:cstheme="minorHAnsi"/>
        </w:rPr>
        <w:t>SUBJECT:</w:t>
      </w:r>
      <w:r w:rsidRPr="00A1519B">
        <w:rPr>
          <w:rFonts w:cstheme="minorHAnsi"/>
        </w:rPr>
        <w:tab/>
        <w:t>Technical Guidance on Coronavirus Relief Fund (CRF-2)</w:t>
      </w:r>
    </w:p>
    <w:p w14:paraId="0843792D" w14:textId="1F8C7104" w:rsidR="00E2743C" w:rsidRPr="00A1519B" w:rsidRDefault="00E2743C" w:rsidP="00E2743C">
      <w:pPr>
        <w:spacing w:after="0" w:line="240" w:lineRule="auto"/>
        <w:rPr>
          <w:rFonts w:cstheme="minorHAnsi"/>
        </w:rPr>
      </w:pPr>
    </w:p>
    <w:p w14:paraId="0A85ABF1" w14:textId="63B4E112" w:rsidR="00E2743C" w:rsidRPr="00A1519B" w:rsidRDefault="00E2743C" w:rsidP="00E2743C">
      <w:pPr>
        <w:pBdr>
          <w:bottom w:val="single" w:sz="12" w:space="1" w:color="auto"/>
        </w:pBdr>
        <w:spacing w:after="0" w:line="240" w:lineRule="auto"/>
        <w:rPr>
          <w:rFonts w:cstheme="minorHAnsi"/>
        </w:rPr>
      </w:pPr>
      <w:r w:rsidRPr="00A1519B">
        <w:rPr>
          <w:rFonts w:cstheme="minorHAnsi"/>
        </w:rPr>
        <w:t xml:space="preserve">DATE: </w:t>
      </w:r>
      <w:r w:rsidRPr="00A1519B">
        <w:rPr>
          <w:rFonts w:cstheme="minorHAnsi"/>
        </w:rPr>
        <w:tab/>
      </w:r>
      <w:r w:rsidRPr="00A1519B">
        <w:rPr>
          <w:rFonts w:cstheme="minorHAnsi"/>
        </w:rPr>
        <w:tab/>
        <w:t>July 2</w:t>
      </w:r>
      <w:r w:rsidR="00F900A2">
        <w:rPr>
          <w:rFonts w:cstheme="minorHAnsi"/>
        </w:rPr>
        <w:t>8</w:t>
      </w:r>
      <w:r w:rsidRPr="00A1519B">
        <w:rPr>
          <w:rFonts w:cstheme="minorHAnsi"/>
        </w:rPr>
        <w:t>, 2020</w:t>
      </w:r>
    </w:p>
    <w:p w14:paraId="5E44393A" w14:textId="7DDE22C0" w:rsidR="00E2743C" w:rsidRPr="00A1519B" w:rsidRDefault="00E2743C" w:rsidP="00E2743C">
      <w:pPr>
        <w:pStyle w:val="paragraph"/>
        <w:textAlignment w:val="baseline"/>
        <w:rPr>
          <w:rStyle w:val="normaltextrun1"/>
          <w:rFonts w:asciiTheme="minorHAnsi" w:hAnsiTheme="minorHAnsi" w:cstheme="minorHAnsi"/>
          <w:sz w:val="22"/>
          <w:szCs w:val="22"/>
        </w:rPr>
      </w:pPr>
    </w:p>
    <w:p w14:paraId="4DE82160" w14:textId="4CBAB811" w:rsidR="00E2743C" w:rsidRPr="00A1519B" w:rsidRDefault="00E2743C" w:rsidP="00E2743C">
      <w:pPr>
        <w:pStyle w:val="paragraph"/>
        <w:textAlignment w:val="baseline"/>
        <w:rPr>
          <w:rStyle w:val="normaltextrun1"/>
          <w:rFonts w:asciiTheme="minorHAnsi" w:hAnsiTheme="minorHAnsi" w:cstheme="minorHAnsi"/>
          <w:sz w:val="22"/>
          <w:szCs w:val="22"/>
        </w:rPr>
      </w:pPr>
      <w:r w:rsidRPr="00A1519B">
        <w:rPr>
          <w:rStyle w:val="normaltextrun1"/>
          <w:rFonts w:asciiTheme="minorHAnsi" w:hAnsiTheme="minorHAnsi" w:cstheme="minorHAnsi"/>
          <w:b/>
          <w:bCs/>
          <w:sz w:val="22"/>
          <w:szCs w:val="22"/>
        </w:rPr>
        <w:t>Item #1:</w:t>
      </w:r>
      <w:r w:rsidRPr="00A1519B">
        <w:rPr>
          <w:rStyle w:val="normaltextrun1"/>
          <w:rFonts w:asciiTheme="minorHAnsi" w:hAnsiTheme="minorHAnsi" w:cstheme="minorHAnsi"/>
          <w:sz w:val="22"/>
          <w:szCs w:val="22"/>
        </w:rPr>
        <w:t xml:space="preserve"> Definition of Eligible Housing (Page 2, B. 3.) clarified:</w:t>
      </w:r>
    </w:p>
    <w:p w14:paraId="7A543EDB" w14:textId="7214ACDD" w:rsidR="00E2743C" w:rsidRPr="00A1519B" w:rsidRDefault="00E2743C" w:rsidP="00E2743C">
      <w:pPr>
        <w:spacing w:after="0" w:line="240" w:lineRule="auto"/>
        <w:jc w:val="both"/>
        <w:rPr>
          <w:rFonts w:cstheme="minorHAnsi"/>
        </w:rPr>
      </w:pPr>
    </w:p>
    <w:p w14:paraId="4926F559" w14:textId="73DA361A" w:rsidR="00E2743C" w:rsidRPr="00A1519B" w:rsidRDefault="00E2743C" w:rsidP="0076133A">
      <w:pPr>
        <w:pStyle w:val="paragraph"/>
        <w:jc w:val="both"/>
        <w:textAlignment w:val="baseline"/>
        <w:rPr>
          <w:rStyle w:val="eop"/>
          <w:rFonts w:asciiTheme="minorHAnsi" w:hAnsiTheme="minorHAnsi" w:cstheme="minorHAnsi"/>
          <w:sz w:val="22"/>
          <w:szCs w:val="22"/>
        </w:rPr>
      </w:pPr>
      <w:r w:rsidRPr="00A1519B">
        <w:rPr>
          <w:rStyle w:val="normaltextrun1"/>
          <w:rFonts w:asciiTheme="minorHAnsi" w:hAnsiTheme="minorHAnsi" w:cstheme="minorHAnsi"/>
          <w:sz w:val="22"/>
          <w:szCs w:val="22"/>
        </w:rPr>
        <w:t>“Eligible Housing” means any real and personal property located within the county or eligible municipality which is designed and intended for the primary purpose of providing decent, safe, and sanitary residential units that are designed to meet the standards of the Florida Building Code or previous building codes adopted under Chapter 553, Fla. Stat., or manufactured housing constructed after June 1994 and installed in accordance with the installation standards for mobile or manufactured homes contained in rules of the Department of Highway Safety and Motor Vehicles, for home ownership or rental for Eligible Persons as designated by Subrecipient.</w:t>
      </w:r>
      <w:r w:rsidRPr="00A1519B">
        <w:rPr>
          <w:rStyle w:val="eop"/>
          <w:rFonts w:asciiTheme="minorHAnsi" w:hAnsiTheme="minorHAnsi" w:cstheme="minorHAnsi"/>
          <w:sz w:val="22"/>
          <w:szCs w:val="22"/>
        </w:rPr>
        <w:t> </w:t>
      </w:r>
    </w:p>
    <w:p w14:paraId="155A76B0" w14:textId="77777777" w:rsidR="0076133A" w:rsidRPr="00A1519B" w:rsidRDefault="0076133A" w:rsidP="0076133A">
      <w:pPr>
        <w:pStyle w:val="paragraph"/>
        <w:jc w:val="both"/>
        <w:textAlignment w:val="baseline"/>
        <w:rPr>
          <w:rFonts w:asciiTheme="minorHAnsi" w:hAnsiTheme="minorHAnsi" w:cstheme="minorHAnsi"/>
          <w:sz w:val="22"/>
          <w:szCs w:val="22"/>
        </w:rPr>
      </w:pPr>
    </w:p>
    <w:p w14:paraId="5CE13A59" w14:textId="2D2B4E7A" w:rsidR="00DE60D6" w:rsidRDefault="00E2743C" w:rsidP="00DE60D6">
      <w:pPr>
        <w:spacing w:after="0" w:line="240" w:lineRule="auto"/>
        <w:rPr>
          <w:rFonts w:cstheme="minorHAnsi"/>
          <w:i/>
          <w:iCs/>
        </w:rPr>
      </w:pPr>
      <w:r w:rsidRPr="00A1519B">
        <w:rPr>
          <w:rFonts w:cstheme="minorHAnsi"/>
          <w:b/>
          <w:bCs/>
          <w:i/>
          <w:iCs/>
        </w:rPr>
        <w:t xml:space="preserve">Item # 1 Guidance: </w:t>
      </w:r>
      <w:r w:rsidRPr="00A1519B">
        <w:rPr>
          <w:rFonts w:cstheme="minorHAnsi"/>
          <w:i/>
          <w:iCs/>
        </w:rPr>
        <w:t xml:space="preserve">The Eligible Housing definition reference to the June 1994 restriction on assisting manufactured housing is not meant to restrict a local government from providing rental assistance to a resident of a manufactured or mobile home that was constructed prior to June 1994 as long as no funds are being used to repair the unit. It is also advisable in these situations that the local government review and determine that the home in question is not substandard. </w:t>
      </w:r>
    </w:p>
    <w:p w14:paraId="55C07138" w14:textId="77777777" w:rsidR="00DE60D6" w:rsidRDefault="00DE60D6" w:rsidP="00F900A2">
      <w:pPr>
        <w:spacing w:after="0" w:line="240" w:lineRule="auto"/>
        <w:rPr>
          <w:rFonts w:cstheme="minorHAnsi"/>
          <w:b/>
          <w:bCs/>
        </w:rPr>
      </w:pPr>
    </w:p>
    <w:p w14:paraId="25079ADD" w14:textId="77777777" w:rsidR="00DE60D6" w:rsidRPr="00A1519B" w:rsidRDefault="00DE60D6" w:rsidP="00F900A2">
      <w:pPr>
        <w:spacing w:after="0" w:line="240" w:lineRule="auto"/>
        <w:rPr>
          <w:rFonts w:cstheme="minorHAnsi"/>
          <w:i/>
          <w:iCs/>
        </w:rPr>
      </w:pPr>
    </w:p>
    <w:p w14:paraId="51A773C1" w14:textId="482A5E4D" w:rsidR="00E2743C" w:rsidRPr="00A1519B" w:rsidRDefault="00E2743C" w:rsidP="00E2743C">
      <w:pPr>
        <w:rPr>
          <w:rFonts w:cstheme="minorHAnsi"/>
        </w:rPr>
      </w:pPr>
      <w:r w:rsidRPr="00A1519B">
        <w:rPr>
          <w:rFonts w:cstheme="minorHAnsi"/>
          <w:b/>
          <w:bCs/>
        </w:rPr>
        <w:t>Item #2:</w:t>
      </w:r>
      <w:r w:rsidRPr="00A1519B">
        <w:rPr>
          <w:rFonts w:cstheme="minorHAnsi"/>
        </w:rPr>
        <w:t xml:space="preserve"> Use of Project Delivery Costs (Page 3, C. 4.) clarified:</w:t>
      </w:r>
    </w:p>
    <w:p w14:paraId="36E7F3B5" w14:textId="77777777" w:rsidR="00E2743C" w:rsidRPr="00A1519B" w:rsidRDefault="00E2743C" w:rsidP="00E2743C">
      <w:pPr>
        <w:spacing w:after="0" w:line="240" w:lineRule="auto"/>
        <w:jc w:val="both"/>
        <w:rPr>
          <w:rFonts w:cstheme="minorHAnsi"/>
        </w:rPr>
      </w:pPr>
      <w:r w:rsidRPr="00A1519B">
        <w:rPr>
          <w:rFonts w:cstheme="minorHAnsi"/>
          <w:u w:val="single"/>
        </w:rPr>
        <w:t>Expenditure of Funds by Subrecipient</w:t>
      </w:r>
      <w:r w:rsidRPr="00A1519B">
        <w:rPr>
          <w:rFonts w:cstheme="minorHAnsi"/>
        </w:rPr>
        <w:t>: CRF funds shall be Expended by Subrecipient</w:t>
      </w:r>
      <w:r w:rsidRPr="00A1519B" w:rsidDel="004333B3">
        <w:rPr>
          <w:rFonts w:cstheme="minorHAnsi"/>
        </w:rPr>
        <w:t xml:space="preserve"> </w:t>
      </w:r>
      <w:r w:rsidRPr="00A1519B">
        <w:rPr>
          <w:rFonts w:cstheme="minorHAnsi"/>
        </w:rPr>
        <w:t xml:space="preserve">for the following: </w:t>
      </w:r>
    </w:p>
    <w:p w14:paraId="102C4CFF" w14:textId="5F324A77" w:rsidR="00E2743C" w:rsidRPr="00A1519B" w:rsidRDefault="00E2743C" w:rsidP="00E2743C">
      <w:pPr>
        <w:numPr>
          <w:ilvl w:val="1"/>
          <w:numId w:val="6"/>
        </w:numPr>
        <w:spacing w:after="0" w:line="240" w:lineRule="auto"/>
        <w:ind w:left="1440"/>
        <w:jc w:val="both"/>
        <w:rPr>
          <w:rFonts w:cstheme="minorHAnsi"/>
        </w:rPr>
      </w:pPr>
      <w:r w:rsidRPr="00A1519B">
        <w:rPr>
          <w:rFonts w:cstheme="minorHAnsi"/>
        </w:rPr>
        <w:t>Direct CRF Administrative Expenditures and Project Delivery Costs incurred on or after March 1, 2020 in an amount no more than a cumulative 10 percent of CRF funds incurred by Subrecipient, a consultant to Subrecipient, and/or a Sub-Grantee. CRF funds shall not be used to pay for Administrative Expenditures and Project Delivery Costs incurred prior to March 1, 2020.</w:t>
      </w:r>
    </w:p>
    <w:p w14:paraId="275FAD52" w14:textId="77777777" w:rsidR="0076133A" w:rsidRPr="00A1519B" w:rsidRDefault="0076133A" w:rsidP="0076133A">
      <w:pPr>
        <w:spacing w:after="0" w:line="240" w:lineRule="auto"/>
        <w:ind w:left="1440"/>
        <w:jc w:val="both"/>
        <w:rPr>
          <w:rFonts w:cstheme="minorHAnsi"/>
        </w:rPr>
      </w:pPr>
    </w:p>
    <w:p w14:paraId="0E928A50" w14:textId="6C34EA38" w:rsidR="00E2743C" w:rsidRPr="00A1519B" w:rsidRDefault="00E2743C" w:rsidP="00F900A2">
      <w:pPr>
        <w:spacing w:after="0" w:line="240" w:lineRule="auto"/>
        <w:rPr>
          <w:rFonts w:cstheme="minorHAnsi"/>
          <w:i/>
          <w:iCs/>
        </w:rPr>
      </w:pPr>
      <w:r w:rsidRPr="00A1519B">
        <w:rPr>
          <w:rFonts w:cstheme="minorHAnsi"/>
          <w:b/>
          <w:bCs/>
          <w:i/>
          <w:iCs/>
        </w:rPr>
        <w:t>Item #2 Guidance:</w:t>
      </w:r>
      <w:r w:rsidRPr="00A1519B">
        <w:rPr>
          <w:rFonts w:cstheme="minorHAnsi"/>
          <w:i/>
          <w:iCs/>
        </w:rPr>
        <w:t xml:space="preserve"> The use of Project Delivery Costs as defined in B. 9 of the CRF subrecipient agreement is separate and above the 10% cap on administrative fees. Project delivery costs can only be paid to individuals or entities that provide services directly related to assisting eligible CRF applicants that cannot or is not being performed by local government staff that whose salaries are derived from the administrative fees. The reasonable cost of project delivery costs is 5% or less. Keeping these costs as low as possible allows you to serve more applicants with program funds.  </w:t>
      </w:r>
    </w:p>
    <w:p w14:paraId="26D0D0F7" w14:textId="1C88E075" w:rsidR="00E2743C" w:rsidRPr="00A1519B" w:rsidRDefault="00E2743C" w:rsidP="00E2743C">
      <w:pPr>
        <w:rPr>
          <w:rFonts w:cstheme="minorHAnsi"/>
        </w:rPr>
      </w:pPr>
      <w:r w:rsidRPr="00A1519B">
        <w:rPr>
          <w:rFonts w:cstheme="minorHAnsi"/>
          <w:b/>
          <w:bCs/>
        </w:rPr>
        <w:lastRenderedPageBreak/>
        <w:t>Item #3:</w:t>
      </w:r>
      <w:r w:rsidRPr="00A1519B">
        <w:rPr>
          <w:rFonts w:cstheme="minorHAnsi"/>
        </w:rPr>
        <w:t xml:space="preserve"> Advertisement of funding availability (Page 3, C. 6.) clarified:</w:t>
      </w:r>
    </w:p>
    <w:p w14:paraId="36690D86" w14:textId="77777777" w:rsidR="00E2743C" w:rsidRPr="00A1519B" w:rsidRDefault="00E2743C" w:rsidP="00E2743C">
      <w:pPr>
        <w:pStyle w:val="paragraph"/>
        <w:jc w:val="both"/>
        <w:textAlignment w:val="baseline"/>
        <w:rPr>
          <w:rFonts w:asciiTheme="minorHAnsi" w:hAnsiTheme="minorHAnsi" w:cstheme="minorHAnsi"/>
          <w:sz w:val="22"/>
          <w:szCs w:val="22"/>
        </w:rPr>
      </w:pPr>
      <w:r w:rsidRPr="00A1519B">
        <w:rPr>
          <w:rStyle w:val="normaltextrun1"/>
          <w:rFonts w:asciiTheme="minorHAnsi" w:hAnsiTheme="minorHAnsi" w:cstheme="minorHAnsi"/>
          <w:sz w:val="22"/>
          <w:szCs w:val="22"/>
          <w:u w:val="single"/>
        </w:rPr>
        <w:t>Advertisement of Availability of Funds</w:t>
      </w:r>
      <w:r w:rsidRPr="00A1519B">
        <w:rPr>
          <w:rStyle w:val="normaltextrun1"/>
          <w:rFonts w:asciiTheme="minorHAnsi" w:hAnsiTheme="minorHAnsi" w:cstheme="minorHAnsi"/>
          <w:sz w:val="22"/>
          <w:szCs w:val="22"/>
        </w:rPr>
        <w:t>: CRF funding availability shall be advertised by Subrecipient in both a newspaper of general circulation and, where available, periodicals serving racially, ethnically and income diverse neighborhoods, at least 10 days before the beginning of the application period. This 10-day period does not prevent assistance to applicants that have already applied and been determined eligible prior to the application period. At a minimum, the advertisement shall contain: </w:t>
      </w:r>
      <w:r w:rsidRPr="00A1519B">
        <w:rPr>
          <w:rStyle w:val="eop"/>
          <w:rFonts w:asciiTheme="minorHAnsi" w:hAnsiTheme="minorHAnsi" w:cstheme="minorHAnsi"/>
          <w:sz w:val="22"/>
          <w:szCs w:val="22"/>
        </w:rPr>
        <w:t> </w:t>
      </w:r>
    </w:p>
    <w:p w14:paraId="77389409" w14:textId="77777777" w:rsidR="00E2743C" w:rsidRPr="00A1519B" w:rsidRDefault="00E2743C" w:rsidP="00E2743C">
      <w:pPr>
        <w:pStyle w:val="paragraph"/>
        <w:numPr>
          <w:ilvl w:val="0"/>
          <w:numId w:val="3"/>
        </w:numPr>
        <w:ind w:left="1080" w:firstLine="0"/>
        <w:jc w:val="both"/>
        <w:textAlignment w:val="baseline"/>
        <w:rPr>
          <w:rFonts w:asciiTheme="minorHAnsi" w:hAnsiTheme="minorHAnsi" w:cstheme="minorHAnsi"/>
          <w:sz w:val="22"/>
          <w:szCs w:val="22"/>
        </w:rPr>
      </w:pPr>
      <w:r w:rsidRPr="00A1519B">
        <w:rPr>
          <w:rStyle w:val="normaltextrun1"/>
          <w:rFonts w:asciiTheme="minorHAnsi" w:hAnsiTheme="minorHAnsi" w:cstheme="minorHAnsi"/>
          <w:sz w:val="22"/>
          <w:szCs w:val="22"/>
        </w:rPr>
        <w:t>The amount of funds projected to be received from the state for the fiscal year(s). </w:t>
      </w:r>
      <w:r w:rsidRPr="00A1519B">
        <w:rPr>
          <w:rStyle w:val="eop"/>
          <w:rFonts w:asciiTheme="minorHAnsi" w:hAnsiTheme="minorHAnsi" w:cstheme="minorHAnsi"/>
          <w:sz w:val="22"/>
          <w:szCs w:val="22"/>
        </w:rPr>
        <w:t> </w:t>
      </w:r>
    </w:p>
    <w:p w14:paraId="50940C9D" w14:textId="77777777" w:rsidR="00E2743C" w:rsidRPr="00A1519B" w:rsidRDefault="00E2743C" w:rsidP="00E2743C">
      <w:pPr>
        <w:pStyle w:val="paragraph"/>
        <w:numPr>
          <w:ilvl w:val="0"/>
          <w:numId w:val="4"/>
        </w:numPr>
        <w:ind w:left="1080" w:firstLine="0"/>
        <w:jc w:val="both"/>
        <w:textAlignment w:val="baseline"/>
        <w:rPr>
          <w:rFonts w:asciiTheme="minorHAnsi" w:hAnsiTheme="minorHAnsi" w:cstheme="minorHAnsi"/>
          <w:sz w:val="22"/>
          <w:szCs w:val="22"/>
        </w:rPr>
      </w:pPr>
      <w:r w:rsidRPr="00A1519B">
        <w:rPr>
          <w:rStyle w:val="normaltextrun1"/>
          <w:rFonts w:asciiTheme="minorHAnsi" w:hAnsiTheme="minorHAnsi" w:cstheme="minorHAnsi"/>
          <w:sz w:val="22"/>
          <w:szCs w:val="22"/>
        </w:rPr>
        <w:t>The beginning and ending date of the application period; </w:t>
      </w:r>
      <w:r w:rsidRPr="00A1519B">
        <w:rPr>
          <w:rStyle w:val="eop"/>
          <w:rFonts w:asciiTheme="minorHAnsi" w:hAnsiTheme="minorHAnsi" w:cstheme="minorHAnsi"/>
          <w:sz w:val="22"/>
          <w:szCs w:val="22"/>
        </w:rPr>
        <w:t> </w:t>
      </w:r>
    </w:p>
    <w:p w14:paraId="5AB4B9E0" w14:textId="77777777" w:rsidR="00E2743C" w:rsidRPr="00A1519B" w:rsidRDefault="00E2743C" w:rsidP="00E2743C">
      <w:pPr>
        <w:pStyle w:val="paragraph"/>
        <w:numPr>
          <w:ilvl w:val="0"/>
          <w:numId w:val="5"/>
        </w:numPr>
        <w:ind w:left="1080" w:firstLine="0"/>
        <w:jc w:val="both"/>
        <w:textAlignment w:val="baseline"/>
        <w:rPr>
          <w:rFonts w:asciiTheme="minorHAnsi" w:hAnsiTheme="minorHAnsi" w:cstheme="minorHAnsi"/>
          <w:sz w:val="22"/>
          <w:szCs w:val="22"/>
        </w:rPr>
      </w:pPr>
      <w:r w:rsidRPr="00A1519B">
        <w:rPr>
          <w:rStyle w:val="normaltextrun1"/>
          <w:rFonts w:asciiTheme="minorHAnsi" w:hAnsiTheme="minorHAnsi" w:cstheme="minorHAnsi"/>
          <w:sz w:val="22"/>
          <w:szCs w:val="22"/>
        </w:rPr>
        <w:t>The name of the contact person and other pertinent information where applicants may apply for assistance (phone number, address, email, and hours of operation);</w:t>
      </w:r>
      <w:r w:rsidRPr="00A1519B">
        <w:rPr>
          <w:rStyle w:val="eop"/>
          <w:rFonts w:asciiTheme="minorHAnsi" w:hAnsiTheme="minorHAnsi" w:cstheme="minorHAnsi"/>
          <w:sz w:val="22"/>
          <w:szCs w:val="22"/>
        </w:rPr>
        <w:t> </w:t>
      </w:r>
    </w:p>
    <w:p w14:paraId="624BB438" w14:textId="77777777" w:rsidR="00E2743C" w:rsidRPr="00A1519B" w:rsidRDefault="00E2743C" w:rsidP="00E2743C">
      <w:pPr>
        <w:pStyle w:val="paragraph"/>
        <w:jc w:val="both"/>
        <w:textAlignment w:val="baseline"/>
        <w:rPr>
          <w:rStyle w:val="eop"/>
          <w:rFonts w:asciiTheme="minorHAnsi" w:hAnsiTheme="minorHAnsi" w:cstheme="minorHAnsi"/>
          <w:sz w:val="22"/>
          <w:szCs w:val="22"/>
        </w:rPr>
      </w:pPr>
      <w:r w:rsidRPr="00A1519B">
        <w:rPr>
          <w:rStyle w:val="eop"/>
          <w:rFonts w:asciiTheme="minorHAnsi" w:hAnsiTheme="minorHAnsi" w:cstheme="minorHAnsi"/>
          <w:sz w:val="22"/>
          <w:szCs w:val="22"/>
        </w:rPr>
        <w:t> </w:t>
      </w:r>
    </w:p>
    <w:p w14:paraId="0D4DAD20" w14:textId="7C3621FE" w:rsidR="00E2743C" w:rsidRPr="00A1519B" w:rsidRDefault="00374504" w:rsidP="00DE60D6">
      <w:pPr>
        <w:pStyle w:val="paragraph"/>
        <w:jc w:val="both"/>
        <w:textAlignment w:val="baseline"/>
        <w:rPr>
          <w:rFonts w:asciiTheme="minorHAnsi" w:hAnsiTheme="minorHAnsi" w:cstheme="minorHAnsi"/>
          <w:i/>
          <w:iCs/>
          <w:sz w:val="22"/>
          <w:szCs w:val="22"/>
        </w:rPr>
      </w:pPr>
      <w:r w:rsidRPr="00A1519B">
        <w:rPr>
          <w:rStyle w:val="eop"/>
          <w:rFonts w:asciiTheme="minorHAnsi" w:hAnsiTheme="minorHAnsi" w:cstheme="minorHAnsi"/>
          <w:b/>
          <w:bCs/>
          <w:i/>
          <w:iCs/>
          <w:sz w:val="22"/>
          <w:szCs w:val="22"/>
        </w:rPr>
        <w:t xml:space="preserve">Item # 3 </w:t>
      </w:r>
      <w:r w:rsidR="00E2743C" w:rsidRPr="00A1519B">
        <w:rPr>
          <w:rStyle w:val="eop"/>
          <w:rFonts w:asciiTheme="minorHAnsi" w:hAnsiTheme="minorHAnsi" w:cstheme="minorHAnsi"/>
          <w:b/>
          <w:bCs/>
          <w:i/>
          <w:iCs/>
          <w:sz w:val="22"/>
          <w:szCs w:val="22"/>
        </w:rPr>
        <w:t>Guidance:</w:t>
      </w:r>
      <w:r w:rsidR="00E2743C" w:rsidRPr="00A1519B">
        <w:rPr>
          <w:rStyle w:val="eop"/>
          <w:rFonts w:asciiTheme="minorHAnsi" w:hAnsiTheme="minorHAnsi" w:cstheme="minorHAnsi"/>
          <w:i/>
          <w:iCs/>
          <w:sz w:val="22"/>
          <w:szCs w:val="22"/>
        </w:rPr>
        <w:t xml:space="preserve"> With the need to make the CRF funds available as soon as possible, the advertising requirement may also be met through the use of the local government’s website and social media accounts that are available to the public. Local governments that were already using SHIP funds for similar uses do not need to wait the 10-day period before taking applications. </w:t>
      </w:r>
    </w:p>
    <w:p w14:paraId="56D52681" w14:textId="77777777" w:rsidR="0076133A" w:rsidRPr="00A1519B" w:rsidRDefault="0076133A" w:rsidP="00F900A2">
      <w:pPr>
        <w:shd w:val="clear" w:color="auto" w:fill="FFFFFF"/>
        <w:spacing w:after="0" w:line="240" w:lineRule="auto"/>
        <w:rPr>
          <w:rFonts w:cstheme="minorHAnsi"/>
        </w:rPr>
      </w:pPr>
    </w:p>
    <w:p w14:paraId="77F763DD" w14:textId="09993D66" w:rsidR="00E2743C" w:rsidRPr="00A1519B" w:rsidRDefault="00E2743C" w:rsidP="00F900A2">
      <w:pPr>
        <w:shd w:val="clear" w:color="auto" w:fill="FFFFFF"/>
        <w:spacing w:after="0" w:line="240" w:lineRule="auto"/>
        <w:rPr>
          <w:rFonts w:cstheme="minorHAnsi"/>
        </w:rPr>
      </w:pPr>
      <w:r w:rsidRPr="00A1519B">
        <w:rPr>
          <w:rFonts w:cstheme="minorHAnsi"/>
        </w:rPr>
        <w:br/>
      </w:r>
      <w:r w:rsidRPr="00A1519B">
        <w:rPr>
          <w:rFonts w:cstheme="minorHAnsi"/>
          <w:b/>
          <w:bCs/>
        </w:rPr>
        <w:t xml:space="preserve">Item #4: </w:t>
      </w:r>
      <w:r w:rsidRPr="00A1519B">
        <w:rPr>
          <w:rFonts w:cstheme="minorHAnsi"/>
        </w:rPr>
        <w:t>Allowable property tax payments (Page 5, F.) clarified:</w:t>
      </w:r>
    </w:p>
    <w:p w14:paraId="01A8DC33" w14:textId="0EFC6BA7" w:rsidR="00E2743C" w:rsidRPr="00A1519B" w:rsidRDefault="00E2743C" w:rsidP="00E2743C">
      <w:pPr>
        <w:widowControl w:val="0"/>
        <w:shd w:val="clear" w:color="auto" w:fill="FFFFFF"/>
        <w:spacing w:after="0" w:line="240" w:lineRule="auto"/>
        <w:jc w:val="both"/>
        <w:rPr>
          <w:rFonts w:cstheme="minorHAnsi"/>
        </w:rPr>
      </w:pPr>
      <w:r w:rsidRPr="00A1519B">
        <w:rPr>
          <w:rFonts w:cstheme="minorHAnsi"/>
          <w:u w:val="single"/>
        </w:rPr>
        <w:t>Allowable Mortgage Payments:</w:t>
      </w:r>
      <w:r w:rsidRPr="00A1519B">
        <w:rPr>
          <w:rFonts w:cstheme="minorHAnsi"/>
        </w:rPr>
        <w:t xml:space="preserve"> Mortgage payment assistance may be awarded to eligible applicants. This may include principle and interest, insurance, and homeowner association fees.  Real Estate taxes paid to a government entity are </w:t>
      </w:r>
      <w:r w:rsidRPr="00A1519B">
        <w:rPr>
          <w:rFonts w:cstheme="minorHAnsi"/>
          <w:u w:val="single"/>
        </w:rPr>
        <w:t>not</w:t>
      </w:r>
      <w:r w:rsidRPr="00A1519B">
        <w:rPr>
          <w:rFonts w:cstheme="minorHAnsi"/>
        </w:rPr>
        <w:t xml:space="preserve"> eligible. </w:t>
      </w:r>
    </w:p>
    <w:p w14:paraId="04BA93C1" w14:textId="77777777" w:rsidR="00E2743C" w:rsidRPr="00A1519B" w:rsidRDefault="00E2743C" w:rsidP="00E2743C">
      <w:pPr>
        <w:widowControl w:val="0"/>
        <w:shd w:val="clear" w:color="auto" w:fill="FFFFFF"/>
        <w:spacing w:after="0" w:line="240" w:lineRule="auto"/>
        <w:jc w:val="both"/>
        <w:rPr>
          <w:rFonts w:cstheme="minorHAnsi"/>
        </w:rPr>
      </w:pPr>
    </w:p>
    <w:p w14:paraId="461453D0" w14:textId="79A785DA" w:rsidR="00E2743C" w:rsidRPr="00A1519B" w:rsidRDefault="00E2743C" w:rsidP="00E2743C">
      <w:pPr>
        <w:rPr>
          <w:rFonts w:cstheme="minorHAnsi"/>
          <w:i/>
          <w:iCs/>
        </w:rPr>
      </w:pPr>
      <w:r w:rsidRPr="00A1519B">
        <w:rPr>
          <w:rFonts w:cstheme="minorHAnsi"/>
          <w:b/>
          <w:bCs/>
          <w:i/>
          <w:iCs/>
        </w:rPr>
        <w:t xml:space="preserve">Item # 4 Guidance: </w:t>
      </w:r>
      <w:r w:rsidRPr="00A1519B">
        <w:rPr>
          <w:rFonts w:cstheme="minorHAnsi"/>
          <w:i/>
          <w:iCs/>
        </w:rPr>
        <w:t>According to US Treasury guidance</w:t>
      </w:r>
      <w:r w:rsidRPr="00A1519B">
        <w:rPr>
          <w:rFonts w:cstheme="minorHAnsi"/>
          <w:b/>
          <w:bCs/>
          <w:i/>
          <w:iCs/>
        </w:rPr>
        <w:t xml:space="preserve"> </w:t>
      </w:r>
      <w:r w:rsidRPr="00A1519B">
        <w:rPr>
          <w:rFonts w:cstheme="minorHAnsi"/>
          <w:i/>
          <w:iCs/>
        </w:rPr>
        <w:t>regarding the payment of property taxes, exceptions may be made in the case of assistance designed to prevent foreclosures.</w:t>
      </w:r>
    </w:p>
    <w:p w14:paraId="392FCC5F" w14:textId="77777777" w:rsidR="00E2743C" w:rsidRPr="00A1519B" w:rsidRDefault="00E2743C" w:rsidP="00324A28">
      <w:pPr>
        <w:spacing w:after="0" w:line="240" w:lineRule="auto"/>
        <w:rPr>
          <w:rFonts w:cstheme="minorHAnsi"/>
          <w:color w:val="808080" w:themeColor="background1" w:themeShade="80"/>
        </w:rPr>
      </w:pPr>
    </w:p>
    <w:p w14:paraId="2F6EF1B4" w14:textId="77777777" w:rsidR="004C4E50" w:rsidRPr="00A1519B" w:rsidRDefault="004C4E50" w:rsidP="008E77ED">
      <w:pPr>
        <w:jc w:val="center"/>
        <w:rPr>
          <w:rFonts w:cstheme="minorHAnsi"/>
        </w:rPr>
      </w:pPr>
    </w:p>
    <w:p w14:paraId="4E3B52BE" w14:textId="77777777" w:rsidR="004C4E50" w:rsidRPr="00A1519B" w:rsidRDefault="004C4E50" w:rsidP="008E77ED">
      <w:pPr>
        <w:jc w:val="center"/>
        <w:rPr>
          <w:rFonts w:cstheme="minorHAnsi"/>
        </w:rPr>
      </w:pPr>
    </w:p>
    <w:p w14:paraId="54E22062" w14:textId="77777777" w:rsidR="004C4E50" w:rsidRPr="00A1519B" w:rsidRDefault="004C4E50" w:rsidP="008E77ED">
      <w:pPr>
        <w:jc w:val="center"/>
        <w:rPr>
          <w:rFonts w:cstheme="minorHAnsi"/>
        </w:rPr>
      </w:pPr>
    </w:p>
    <w:p w14:paraId="020135E2" w14:textId="77777777" w:rsidR="004C4E50" w:rsidRPr="00A1519B" w:rsidRDefault="004C4E50" w:rsidP="008E77ED">
      <w:pPr>
        <w:jc w:val="center"/>
        <w:rPr>
          <w:rFonts w:cstheme="minorHAnsi"/>
        </w:rPr>
      </w:pPr>
    </w:p>
    <w:p w14:paraId="037CD042" w14:textId="77777777" w:rsidR="004C4E50" w:rsidRPr="00A1519B" w:rsidRDefault="004C4E50" w:rsidP="008E77ED">
      <w:pPr>
        <w:jc w:val="center"/>
        <w:rPr>
          <w:rFonts w:cstheme="minorHAnsi"/>
        </w:rPr>
      </w:pPr>
    </w:p>
    <w:p w14:paraId="664E2D72" w14:textId="57FC51C5" w:rsidR="004C4E50" w:rsidRPr="00A1519B" w:rsidRDefault="004C4E50" w:rsidP="002A604D">
      <w:pPr>
        <w:rPr>
          <w:rFonts w:cstheme="minorHAnsi"/>
        </w:rPr>
      </w:pPr>
    </w:p>
    <w:sectPr w:rsidR="004C4E50" w:rsidRPr="00A1519B" w:rsidSect="00151CAD">
      <w:headerReference w:type="default" r:id="rId11"/>
      <w:footerReference w:type="default" r:id="rId12"/>
      <w:headerReference w:type="first" r:id="rId13"/>
      <w:footerReference w:type="first" r:id="rId14"/>
      <w:type w:val="continuous"/>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37096" w14:textId="77777777" w:rsidR="00E94CFB" w:rsidRDefault="00E94CFB" w:rsidP="00203541">
      <w:pPr>
        <w:spacing w:after="0" w:line="240" w:lineRule="auto"/>
      </w:pPr>
      <w:r>
        <w:separator/>
      </w:r>
    </w:p>
  </w:endnote>
  <w:endnote w:type="continuationSeparator" w:id="0">
    <w:p w14:paraId="34670BFA" w14:textId="77777777" w:rsidR="00E94CFB" w:rsidRDefault="00E94CFB" w:rsidP="0020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AF683" w14:textId="77777777" w:rsidR="00E457C2" w:rsidRPr="00C57758" w:rsidRDefault="00E457C2" w:rsidP="00DE60D6">
    <w:pPr>
      <w:tabs>
        <w:tab w:val="center" w:pos="4680"/>
      </w:tabs>
      <w:spacing w:after="0" w:line="288" w:lineRule="auto"/>
      <w:ind w:left="-1440" w:right="-1440"/>
      <w:jc w:val="center"/>
      <w:rPr>
        <w:rFonts w:ascii="Century Gothic" w:hAnsi="Century Gothic"/>
        <w:color w:val="808080" w:themeColor="background1" w:themeShade="80"/>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8BCEE" w14:textId="77777777" w:rsidR="006343E4" w:rsidRDefault="006343E4" w:rsidP="006343E4">
    <w:pPr>
      <w:pBdr>
        <w:top w:val="single" w:sz="6" w:space="1" w:color="5F497A" w:themeColor="accent4" w:themeShade="BF"/>
      </w:pBdr>
      <w:spacing w:after="0" w:line="288" w:lineRule="auto"/>
      <w:jc w:val="center"/>
      <w:rPr>
        <w:rFonts w:ascii="Century Gothic" w:hAnsi="Century Gothic"/>
        <w:color w:val="808080" w:themeColor="background1" w:themeShade="80"/>
        <w:sz w:val="14"/>
        <w:szCs w:val="14"/>
      </w:rPr>
    </w:pPr>
    <w:bookmarkStart w:id="1" w:name="_Hlk501526393"/>
    <w:bookmarkStart w:id="2" w:name="_Hlk501526394"/>
    <w:bookmarkStart w:id="3" w:name="_Hlk501526395"/>
    <w:bookmarkStart w:id="4" w:name="_Hlk501526399"/>
    <w:bookmarkStart w:id="5" w:name="_Hlk501526400"/>
    <w:bookmarkStart w:id="6" w:name="_Hlk501526401"/>
    <w:r w:rsidRPr="00F62745">
      <w:rPr>
        <w:rFonts w:ascii="Century Gothic" w:hAnsi="Century Gothic"/>
        <w:color w:val="808080" w:themeColor="background1" w:themeShade="80"/>
        <w:sz w:val="14"/>
        <w:szCs w:val="14"/>
      </w:rPr>
      <w:t>Ron DeSantis</w:t>
    </w:r>
    <w:r w:rsidRPr="00900DBA">
      <w:rPr>
        <w:rFonts w:ascii="Century Gothic" w:hAnsi="Century Gothic"/>
        <w:color w:val="808080" w:themeColor="background1" w:themeShade="80"/>
        <w:sz w:val="14"/>
        <w:szCs w:val="14"/>
      </w:rPr>
      <w:t>, Governor</w:t>
    </w:r>
  </w:p>
  <w:p w14:paraId="1454A272" w14:textId="77777777" w:rsidR="006343E4" w:rsidRPr="00900DBA" w:rsidRDefault="006343E4" w:rsidP="006343E4">
    <w:pPr>
      <w:spacing w:after="0" w:line="288" w:lineRule="auto"/>
      <w:jc w:val="center"/>
      <w:rPr>
        <w:rFonts w:ascii="Century Gothic" w:hAnsi="Century Gothic"/>
        <w:color w:val="808080" w:themeColor="background1" w:themeShade="80"/>
        <w:sz w:val="8"/>
        <w:szCs w:val="8"/>
      </w:rPr>
    </w:pPr>
  </w:p>
  <w:p w14:paraId="153D9D6F" w14:textId="3A6C6D47" w:rsidR="003F2B62" w:rsidRPr="0037087B" w:rsidRDefault="003F2B62" w:rsidP="003F2B62">
    <w:pPr>
      <w:spacing w:after="0" w:line="288" w:lineRule="auto"/>
      <w:jc w:val="center"/>
      <w:rPr>
        <w:rFonts w:ascii="Century Gothic" w:hAnsi="Century Gothic"/>
        <w:color w:val="808080" w:themeColor="background1" w:themeShade="80"/>
        <w:sz w:val="14"/>
        <w:szCs w:val="14"/>
      </w:rPr>
    </w:pPr>
    <w:r w:rsidRPr="0037087B">
      <w:rPr>
        <w:rFonts w:ascii="Century Gothic" w:hAnsi="Century Gothic"/>
        <w:color w:val="808080" w:themeColor="background1" w:themeShade="80"/>
        <w:sz w:val="14"/>
        <w:szCs w:val="14"/>
      </w:rPr>
      <w:t>Board of Directors:</w:t>
    </w:r>
    <w:r w:rsidR="006F51B6">
      <w:rPr>
        <w:rFonts w:ascii="Century Gothic" w:hAnsi="Century Gothic"/>
        <w:color w:val="808080" w:themeColor="background1" w:themeShade="80"/>
        <w:sz w:val="14"/>
        <w:szCs w:val="14"/>
      </w:rPr>
      <w:t xml:space="preserve"> Ron Lieberman</w:t>
    </w:r>
    <w:r w:rsidRPr="0037087B">
      <w:rPr>
        <w:rFonts w:ascii="Century Gothic" w:hAnsi="Century Gothic"/>
        <w:color w:val="808080" w:themeColor="background1" w:themeShade="80"/>
        <w:sz w:val="14"/>
        <w:szCs w:val="14"/>
      </w:rPr>
      <w:t xml:space="preserve">, Chairman </w:t>
    </w:r>
    <w:r w:rsidRPr="0037087B">
      <w:rPr>
        <w:rFonts w:ascii="Century Gothic" w:hAnsi="Century Gothic"/>
        <w:color w:val="550393"/>
        <w:sz w:val="14"/>
        <w:szCs w:val="14"/>
      </w:rPr>
      <w:sym w:font="Wingdings" w:char="F09F"/>
    </w:r>
    <w:r w:rsidRPr="0037087B">
      <w:rPr>
        <w:rFonts w:ascii="Century Gothic" w:hAnsi="Century Gothic"/>
        <w:color w:val="808080" w:themeColor="background1" w:themeShade="80"/>
        <w:sz w:val="14"/>
        <w:szCs w:val="14"/>
      </w:rPr>
      <w:t xml:space="preserve"> </w:t>
    </w:r>
    <w:r w:rsidR="006F51B6" w:rsidRPr="0037087B">
      <w:rPr>
        <w:rFonts w:ascii="Century Gothic" w:hAnsi="Century Gothic"/>
        <w:color w:val="808080" w:themeColor="background1" w:themeShade="80"/>
        <w:sz w:val="14"/>
        <w:szCs w:val="14"/>
      </w:rPr>
      <w:t>Ray Dubuque</w:t>
    </w:r>
    <w:r w:rsidRPr="0037087B">
      <w:rPr>
        <w:rFonts w:ascii="Century Gothic" w:hAnsi="Century Gothic"/>
        <w:color w:val="808080" w:themeColor="background1" w:themeShade="80"/>
        <w:sz w:val="14"/>
        <w:szCs w:val="14"/>
      </w:rPr>
      <w:t>, Vice Chairman</w:t>
    </w:r>
  </w:p>
  <w:p w14:paraId="77CD5DE6" w14:textId="56BA81A3" w:rsidR="003F2B62" w:rsidRPr="0037087B" w:rsidRDefault="003F2B62" w:rsidP="003F2B62">
    <w:pPr>
      <w:spacing w:after="0" w:line="288" w:lineRule="auto"/>
      <w:jc w:val="center"/>
      <w:rPr>
        <w:rFonts w:ascii="Century Gothic" w:eastAsia="Cambria" w:hAnsi="Century Gothic" w:cs="Times New Roman"/>
        <w:color w:val="808080" w:themeColor="background1" w:themeShade="80"/>
        <w:sz w:val="14"/>
        <w:szCs w:val="14"/>
      </w:rPr>
    </w:pPr>
    <w:r w:rsidRPr="0056638A">
      <w:rPr>
        <w:rFonts w:ascii="Century Gothic" w:hAnsi="Century Gothic"/>
        <w:color w:val="808080" w:themeColor="background1" w:themeShade="80"/>
        <w:sz w:val="14"/>
        <w:szCs w:val="14"/>
      </w:rPr>
      <w:t>Ryan Benson</w:t>
    </w:r>
    <w:r>
      <w:rPr>
        <w:rFonts w:ascii="Century Gothic" w:hAnsi="Century Gothic"/>
        <w:color w:val="808080" w:themeColor="background1" w:themeShade="80"/>
        <w:sz w:val="14"/>
        <w:szCs w:val="14"/>
      </w:rPr>
      <w:t xml:space="preserve"> </w:t>
    </w:r>
    <w:r>
      <w:rPr>
        <w:rFonts w:ascii="Century Gothic" w:hAnsi="Century Gothic"/>
        <w:color w:val="550393"/>
        <w:sz w:val="14"/>
        <w:szCs w:val="14"/>
      </w:rPr>
      <w:sym w:font="Wingdings" w:char="F09F"/>
    </w:r>
    <w:r>
      <w:rPr>
        <w:rFonts w:ascii="Century Gothic" w:hAnsi="Century Gothic"/>
        <w:color w:val="550393"/>
        <w:sz w:val="14"/>
        <w:szCs w:val="14"/>
      </w:rPr>
      <w:t xml:space="preserve"> </w:t>
    </w:r>
    <w:r w:rsidR="00C57758" w:rsidRPr="0056638A">
      <w:rPr>
        <w:rFonts w:ascii="Century Gothic" w:hAnsi="Century Gothic"/>
        <w:color w:val="808080" w:themeColor="background1" w:themeShade="80"/>
        <w:sz w:val="14"/>
        <w:szCs w:val="14"/>
      </w:rPr>
      <w:t>Sandra Einhorn</w:t>
    </w:r>
    <w:r w:rsidR="00C57758">
      <w:rPr>
        <w:rFonts w:ascii="Century Gothic" w:hAnsi="Century Gothic"/>
        <w:color w:val="808080" w:themeColor="background1" w:themeShade="80"/>
        <w:sz w:val="14"/>
        <w:szCs w:val="14"/>
      </w:rPr>
      <w:t xml:space="preserve"> </w:t>
    </w:r>
    <w:r>
      <w:rPr>
        <w:rFonts w:ascii="Century Gothic" w:hAnsi="Century Gothic"/>
        <w:color w:val="550393"/>
        <w:sz w:val="14"/>
        <w:szCs w:val="14"/>
      </w:rPr>
      <w:sym w:font="Wingdings" w:char="F09F"/>
    </w:r>
    <w:r>
      <w:rPr>
        <w:rFonts w:ascii="Century Gothic" w:hAnsi="Century Gothic"/>
        <w:color w:val="550393"/>
        <w:sz w:val="14"/>
        <w:szCs w:val="14"/>
      </w:rPr>
      <w:t xml:space="preserve"> </w:t>
    </w:r>
    <w:r w:rsidRPr="009D01BD">
      <w:rPr>
        <w:rFonts w:ascii="Century Gothic" w:hAnsi="Century Gothic"/>
        <w:color w:val="808080" w:themeColor="background1" w:themeShade="80"/>
        <w:sz w:val="14"/>
        <w:szCs w:val="14"/>
      </w:rPr>
      <w:t>LaTasha Green-Cobb</w:t>
    </w:r>
  </w:p>
  <w:p w14:paraId="6798B902" w14:textId="06A49E7C" w:rsidR="006343E4" w:rsidRPr="0037087B" w:rsidRDefault="00C57758" w:rsidP="003F2B62">
    <w:pPr>
      <w:spacing w:after="0" w:line="288" w:lineRule="auto"/>
      <w:jc w:val="center"/>
      <w:rPr>
        <w:rFonts w:ascii="Century Gothic" w:eastAsia="Cambria" w:hAnsi="Century Gothic" w:cs="Times New Roman"/>
        <w:color w:val="808080" w:themeColor="background1" w:themeShade="80"/>
        <w:sz w:val="14"/>
        <w:szCs w:val="14"/>
      </w:rPr>
    </w:pPr>
    <w:r w:rsidRPr="0056638A">
      <w:rPr>
        <w:rFonts w:ascii="Century Gothic" w:hAnsi="Century Gothic"/>
        <w:color w:val="808080" w:themeColor="background1" w:themeShade="80"/>
        <w:sz w:val="14"/>
        <w:szCs w:val="14"/>
      </w:rPr>
      <w:t>Bill Gulliford</w:t>
    </w:r>
    <w:r>
      <w:rPr>
        <w:rFonts w:ascii="Century Gothic" w:hAnsi="Century Gothic"/>
        <w:color w:val="808080" w:themeColor="background1" w:themeShade="80"/>
        <w:sz w:val="14"/>
        <w:szCs w:val="14"/>
      </w:rPr>
      <w:t xml:space="preserve"> </w:t>
    </w:r>
    <w:r w:rsidR="003F2B62">
      <w:rPr>
        <w:rFonts w:ascii="Century Gothic" w:hAnsi="Century Gothic"/>
        <w:color w:val="550393"/>
        <w:sz w:val="14"/>
        <w:szCs w:val="14"/>
      </w:rPr>
      <w:sym w:font="Wingdings" w:char="F09F"/>
    </w:r>
    <w:r w:rsidR="003F2B62">
      <w:rPr>
        <w:rFonts w:ascii="Century Gothic" w:hAnsi="Century Gothic"/>
        <w:color w:val="808080" w:themeColor="background1" w:themeShade="80"/>
        <w:sz w:val="14"/>
        <w:szCs w:val="14"/>
      </w:rPr>
      <w:t xml:space="preserve"> </w:t>
    </w:r>
    <w:r w:rsidR="003F2B62">
      <w:rPr>
        <w:rFonts w:ascii="Century Gothic" w:eastAsia="Cambria" w:hAnsi="Century Gothic" w:cs="Times New Roman"/>
        <w:color w:val="808080" w:themeColor="background1" w:themeShade="80"/>
        <w:sz w:val="14"/>
        <w:szCs w:val="14"/>
      </w:rPr>
      <w:t>Ken Lawson</w:t>
    </w:r>
  </w:p>
  <w:p w14:paraId="68FE7ABC" w14:textId="77777777" w:rsidR="006343E4" w:rsidRPr="0037087B" w:rsidRDefault="006343E4" w:rsidP="006343E4">
    <w:pPr>
      <w:spacing w:after="0" w:line="288" w:lineRule="auto"/>
      <w:jc w:val="center"/>
      <w:rPr>
        <w:rFonts w:ascii="Century Gothic" w:eastAsia="Cambria" w:hAnsi="Century Gothic" w:cs="Times New Roman"/>
        <w:color w:val="808080" w:themeColor="background1" w:themeShade="80"/>
        <w:sz w:val="8"/>
        <w:szCs w:val="8"/>
      </w:rPr>
    </w:pPr>
  </w:p>
  <w:p w14:paraId="15583A18" w14:textId="3B0E5E2F" w:rsidR="00E5192F" w:rsidRDefault="006343E4" w:rsidP="00C57758">
    <w:pPr>
      <w:tabs>
        <w:tab w:val="center" w:pos="4680"/>
      </w:tabs>
      <w:spacing w:after="0" w:line="288" w:lineRule="auto"/>
      <w:ind w:left="-1440" w:right="-1440"/>
      <w:jc w:val="center"/>
      <w:rPr>
        <w:rFonts w:ascii="Century Gothic" w:eastAsia="Cambria" w:hAnsi="Century Gothic" w:cs="Times New Roman"/>
        <w:color w:val="808080" w:themeColor="background1" w:themeShade="80"/>
        <w:sz w:val="14"/>
        <w:szCs w:val="14"/>
      </w:rPr>
    </w:pPr>
    <w:r>
      <w:rPr>
        <w:rFonts w:ascii="Century Gothic" w:eastAsia="Cambria" w:hAnsi="Century Gothic" w:cs="Times New Roman"/>
        <w:color w:val="808080" w:themeColor="background1" w:themeShade="80"/>
        <w:sz w:val="14"/>
        <w:szCs w:val="14"/>
      </w:rPr>
      <w:t>Harold “Trey” Price,</w:t>
    </w:r>
    <w:r w:rsidRPr="0037087B">
      <w:rPr>
        <w:rFonts w:ascii="Century Gothic" w:eastAsia="Cambria" w:hAnsi="Century Gothic" w:cs="Times New Roman"/>
        <w:color w:val="808080" w:themeColor="background1" w:themeShade="80"/>
        <w:sz w:val="14"/>
        <w:szCs w:val="14"/>
      </w:rPr>
      <w:t xml:space="preserve"> Executive Director</w:t>
    </w:r>
    <w:bookmarkEnd w:id="1"/>
    <w:bookmarkEnd w:id="2"/>
    <w:bookmarkEnd w:id="3"/>
    <w:bookmarkEnd w:id="4"/>
    <w:bookmarkEnd w:id="5"/>
    <w:bookmarkEnd w:id="6"/>
  </w:p>
  <w:p w14:paraId="313FF496" w14:textId="77777777" w:rsidR="00F15E44" w:rsidRPr="00C57758" w:rsidRDefault="00F15E44" w:rsidP="00C57758">
    <w:pPr>
      <w:tabs>
        <w:tab w:val="center" w:pos="4680"/>
      </w:tabs>
      <w:spacing w:after="0" w:line="288" w:lineRule="auto"/>
      <w:ind w:left="-1440" w:right="-1440"/>
      <w:jc w:val="center"/>
      <w:rPr>
        <w:rFonts w:ascii="Century Gothic" w:hAnsi="Century Gothic"/>
        <w:color w:val="808080" w:themeColor="background1" w:themeShade="80"/>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34EDF" w14:textId="77777777" w:rsidR="00E94CFB" w:rsidRDefault="00E94CFB" w:rsidP="00203541">
      <w:pPr>
        <w:spacing w:after="0" w:line="240" w:lineRule="auto"/>
      </w:pPr>
      <w:r>
        <w:separator/>
      </w:r>
    </w:p>
  </w:footnote>
  <w:footnote w:type="continuationSeparator" w:id="0">
    <w:p w14:paraId="14D34085" w14:textId="77777777" w:rsidR="00E94CFB" w:rsidRDefault="00E94CFB" w:rsidP="00203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7FBA" w14:textId="626D8710" w:rsidR="001E696E" w:rsidRDefault="00DE60D6" w:rsidP="00DE60D6">
    <w:pPr>
      <w:pStyle w:val="Header"/>
      <w:tabs>
        <w:tab w:val="clear" w:pos="4680"/>
        <w:tab w:val="clear" w:pos="9360"/>
        <w:tab w:val="left" w:pos="6358"/>
      </w:tabs>
      <w:jc w:val="right"/>
    </w:pPr>
    <w:r>
      <w:t>Local Governments (CRF-2)</w:t>
    </w:r>
  </w:p>
  <w:p w14:paraId="1EE36DCC" w14:textId="691438A2" w:rsidR="00DE60D6" w:rsidRDefault="00DE60D6" w:rsidP="00DE60D6">
    <w:pPr>
      <w:pStyle w:val="Header"/>
      <w:tabs>
        <w:tab w:val="clear" w:pos="4680"/>
        <w:tab w:val="clear" w:pos="9360"/>
        <w:tab w:val="left" w:pos="6358"/>
      </w:tabs>
      <w:jc w:val="right"/>
    </w:pPr>
    <w:r>
      <w:t>July 27, 2020</w:t>
    </w:r>
  </w:p>
  <w:p w14:paraId="5FA4289F" w14:textId="5E2FD1D9" w:rsidR="00DE60D6" w:rsidRDefault="00DE60D6" w:rsidP="00DE60D6">
    <w:pPr>
      <w:pStyle w:val="Header"/>
      <w:tabs>
        <w:tab w:val="clear" w:pos="4680"/>
        <w:tab w:val="clear" w:pos="9360"/>
        <w:tab w:val="left" w:pos="6358"/>
      </w:tabs>
      <w:jc w:val="right"/>
    </w:pPr>
    <w:r>
      <w:t>Page 2</w:t>
    </w:r>
  </w:p>
  <w:p w14:paraId="6B925D5A" w14:textId="77777777" w:rsidR="00DE60D6" w:rsidRDefault="00DE60D6" w:rsidP="00F900A2">
    <w:pPr>
      <w:pStyle w:val="Header"/>
      <w:tabs>
        <w:tab w:val="clear" w:pos="4680"/>
        <w:tab w:val="clear" w:pos="9360"/>
        <w:tab w:val="left" w:pos="6358"/>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2B757" w14:textId="77777777" w:rsidR="001E696E" w:rsidRDefault="00940DD2" w:rsidP="00B01395">
    <w:pPr>
      <w:pStyle w:val="Header"/>
      <w:tabs>
        <w:tab w:val="clear" w:pos="9360"/>
      </w:tabs>
      <w:spacing w:after="360"/>
      <w:ind w:left="-1440" w:right="-1440"/>
      <w:jc w:val="center"/>
    </w:pPr>
    <w:r w:rsidRPr="00761DE7">
      <w:rPr>
        <w:rFonts w:ascii="Century Gothic" w:hAnsi="Century Gothic"/>
        <w:noProof/>
      </w:rPr>
      <w:drawing>
        <wp:inline distT="0" distB="0" distL="0" distR="0" wp14:anchorId="0F6B7709" wp14:editId="28C24A25">
          <wp:extent cx="6845808" cy="722376"/>
          <wp:effectExtent l="0" t="0" r="0" b="1905"/>
          <wp:docPr id="25" name="Picture 25" descr="LthdHeader_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hdHeader_2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5808" cy="7223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0FA"/>
    <w:multiLevelType w:val="hybridMultilevel"/>
    <w:tmpl w:val="5BA8D7F6"/>
    <w:lvl w:ilvl="0" w:tplc="294A5430">
      <w:start w:val="6"/>
      <w:numFmt w:val="upperLetter"/>
      <w:lvlText w:val="%1."/>
      <w:lvlJc w:val="left"/>
      <w:pPr>
        <w:ind w:left="-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249E8"/>
    <w:multiLevelType w:val="hybridMultilevel"/>
    <w:tmpl w:val="49D8516A"/>
    <w:lvl w:ilvl="0" w:tplc="E3444980">
      <w:start w:val="3"/>
      <w:numFmt w:val="upperLetter"/>
      <w:lvlText w:val="%1."/>
      <w:lvlJc w:val="left"/>
      <w:pPr>
        <w:ind w:left="-9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540"/>
      </w:pPr>
      <w:rPr>
        <w:rFonts w:hint="default"/>
      </w:rPr>
    </w:lvl>
    <w:lvl w:ilvl="3" w:tplc="302C71DA">
      <w:start w:val="1"/>
      <w:numFmt w:val="decimal"/>
      <w:lvlText w:val="%4)"/>
      <w:lvlJc w:val="right"/>
      <w:pPr>
        <w:ind w:left="2160" w:hanging="360"/>
      </w:pPr>
      <w:rPr>
        <w:rFont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BA05394"/>
    <w:multiLevelType w:val="multilevel"/>
    <w:tmpl w:val="187A6A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484B62"/>
    <w:multiLevelType w:val="hybridMultilevel"/>
    <w:tmpl w:val="56881C20"/>
    <w:lvl w:ilvl="0" w:tplc="4586B99E">
      <w:start w:val="2"/>
      <w:numFmt w:val="upperLetter"/>
      <w:lvlText w:val="%1."/>
      <w:lvlJc w:val="left"/>
      <w:pPr>
        <w:ind w:left="-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41216235"/>
    <w:multiLevelType w:val="hybridMultilevel"/>
    <w:tmpl w:val="AC747748"/>
    <w:lvl w:ilvl="0" w:tplc="64F2046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6A7474"/>
    <w:multiLevelType w:val="multilevel"/>
    <w:tmpl w:val="BFBABEF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1A0428"/>
    <w:multiLevelType w:val="multilevel"/>
    <w:tmpl w:val="5AC6C6E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7554976"/>
    <w:multiLevelType w:val="multilevel"/>
    <w:tmpl w:val="12A6D1A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F622809"/>
    <w:multiLevelType w:val="hybridMultilevel"/>
    <w:tmpl w:val="49D8516A"/>
    <w:lvl w:ilvl="0" w:tplc="E3444980">
      <w:start w:val="3"/>
      <w:numFmt w:val="upperLetter"/>
      <w:lvlText w:val="%1."/>
      <w:lvlJc w:val="left"/>
      <w:pPr>
        <w:ind w:left="-9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540"/>
      </w:pPr>
      <w:rPr>
        <w:rFonts w:hint="default"/>
      </w:rPr>
    </w:lvl>
    <w:lvl w:ilvl="3" w:tplc="302C71DA">
      <w:start w:val="1"/>
      <w:numFmt w:val="decimal"/>
      <w:lvlText w:val="%4)"/>
      <w:lvlJc w:val="right"/>
      <w:pPr>
        <w:ind w:left="2160" w:hanging="360"/>
      </w:pPr>
      <w:rPr>
        <w:rFont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614139FF"/>
    <w:multiLevelType w:val="multilevel"/>
    <w:tmpl w:val="794AA7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2"/>
  </w:num>
  <w:num w:numId="3">
    <w:abstractNumId w:val="9"/>
  </w:num>
  <w:num w:numId="4">
    <w:abstractNumId w:val="7"/>
  </w:num>
  <w:num w:numId="5">
    <w:abstractNumId w:val="6"/>
  </w:num>
  <w:num w:numId="6">
    <w:abstractNumId w:val="8"/>
  </w:num>
  <w:num w:numId="7">
    <w:abstractNumId w:val="4"/>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EDB"/>
    <w:rsid w:val="00045728"/>
    <w:rsid w:val="00053D51"/>
    <w:rsid w:val="00082EB2"/>
    <w:rsid w:val="0008625F"/>
    <w:rsid w:val="0009348F"/>
    <w:rsid w:val="000F0795"/>
    <w:rsid w:val="00130931"/>
    <w:rsid w:val="00143EFD"/>
    <w:rsid w:val="00151CAD"/>
    <w:rsid w:val="00183C25"/>
    <w:rsid w:val="001935DB"/>
    <w:rsid w:val="001938E4"/>
    <w:rsid w:val="001A7464"/>
    <w:rsid w:val="001B3732"/>
    <w:rsid w:val="001E696E"/>
    <w:rsid w:val="00203541"/>
    <w:rsid w:val="002615B3"/>
    <w:rsid w:val="002A604D"/>
    <w:rsid w:val="0030683D"/>
    <w:rsid w:val="00324A28"/>
    <w:rsid w:val="00342BBA"/>
    <w:rsid w:val="0037087B"/>
    <w:rsid w:val="00374504"/>
    <w:rsid w:val="003826A6"/>
    <w:rsid w:val="00393576"/>
    <w:rsid w:val="003F2B62"/>
    <w:rsid w:val="00423CE6"/>
    <w:rsid w:val="004350A5"/>
    <w:rsid w:val="0045048E"/>
    <w:rsid w:val="004B45F5"/>
    <w:rsid w:val="004C4E50"/>
    <w:rsid w:val="004D3A3C"/>
    <w:rsid w:val="004F6CEA"/>
    <w:rsid w:val="00517697"/>
    <w:rsid w:val="00531068"/>
    <w:rsid w:val="0056638A"/>
    <w:rsid w:val="00573C8C"/>
    <w:rsid w:val="005769FE"/>
    <w:rsid w:val="005A496A"/>
    <w:rsid w:val="005B6D27"/>
    <w:rsid w:val="0060095E"/>
    <w:rsid w:val="00616E45"/>
    <w:rsid w:val="0063128E"/>
    <w:rsid w:val="006343E4"/>
    <w:rsid w:val="00646D11"/>
    <w:rsid w:val="006F51B6"/>
    <w:rsid w:val="00714C70"/>
    <w:rsid w:val="0076133A"/>
    <w:rsid w:val="00761DE7"/>
    <w:rsid w:val="007774FC"/>
    <w:rsid w:val="00784274"/>
    <w:rsid w:val="007859AC"/>
    <w:rsid w:val="00786BE3"/>
    <w:rsid w:val="00795EDB"/>
    <w:rsid w:val="007C125A"/>
    <w:rsid w:val="007C3AF2"/>
    <w:rsid w:val="007D499B"/>
    <w:rsid w:val="0082604E"/>
    <w:rsid w:val="008530EB"/>
    <w:rsid w:val="00875B9F"/>
    <w:rsid w:val="00887D30"/>
    <w:rsid w:val="008B0279"/>
    <w:rsid w:val="008E77ED"/>
    <w:rsid w:val="008F2D9E"/>
    <w:rsid w:val="008F6097"/>
    <w:rsid w:val="00900DBA"/>
    <w:rsid w:val="00940DD2"/>
    <w:rsid w:val="00965D3B"/>
    <w:rsid w:val="009847B6"/>
    <w:rsid w:val="009B5FA5"/>
    <w:rsid w:val="009C628F"/>
    <w:rsid w:val="009D01BD"/>
    <w:rsid w:val="00A01CD9"/>
    <w:rsid w:val="00A02C33"/>
    <w:rsid w:val="00A1519B"/>
    <w:rsid w:val="00A167E1"/>
    <w:rsid w:val="00A35987"/>
    <w:rsid w:val="00AA6C5F"/>
    <w:rsid w:val="00B01395"/>
    <w:rsid w:val="00B30646"/>
    <w:rsid w:val="00B943E8"/>
    <w:rsid w:val="00BB5B0F"/>
    <w:rsid w:val="00BC34F3"/>
    <w:rsid w:val="00BD182D"/>
    <w:rsid w:val="00BF7475"/>
    <w:rsid w:val="00C00BF6"/>
    <w:rsid w:val="00C151DE"/>
    <w:rsid w:val="00C16109"/>
    <w:rsid w:val="00C57758"/>
    <w:rsid w:val="00C71F8D"/>
    <w:rsid w:val="00C93F8C"/>
    <w:rsid w:val="00CC2E53"/>
    <w:rsid w:val="00CD6B42"/>
    <w:rsid w:val="00CE21BA"/>
    <w:rsid w:val="00D87543"/>
    <w:rsid w:val="00D90FEB"/>
    <w:rsid w:val="00DB1EAF"/>
    <w:rsid w:val="00DB4AD1"/>
    <w:rsid w:val="00DC2C69"/>
    <w:rsid w:val="00DE60D6"/>
    <w:rsid w:val="00E02F55"/>
    <w:rsid w:val="00E10871"/>
    <w:rsid w:val="00E2743C"/>
    <w:rsid w:val="00E457C2"/>
    <w:rsid w:val="00E5192F"/>
    <w:rsid w:val="00E6323D"/>
    <w:rsid w:val="00E67084"/>
    <w:rsid w:val="00E94CFB"/>
    <w:rsid w:val="00F15E44"/>
    <w:rsid w:val="00F20B74"/>
    <w:rsid w:val="00F332FC"/>
    <w:rsid w:val="00F512F4"/>
    <w:rsid w:val="00F51540"/>
    <w:rsid w:val="00F62745"/>
    <w:rsid w:val="00F900A2"/>
    <w:rsid w:val="00F9710B"/>
    <w:rsid w:val="00FC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49A671"/>
  <w15:docId w15:val="{D665B75B-0C55-4148-B018-19225756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BC3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541"/>
  </w:style>
  <w:style w:type="paragraph" w:styleId="Footer">
    <w:name w:val="footer"/>
    <w:basedOn w:val="Normal"/>
    <w:link w:val="FooterChar"/>
    <w:uiPriority w:val="99"/>
    <w:unhideWhenUsed/>
    <w:rsid w:val="00203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541"/>
  </w:style>
  <w:style w:type="paragraph" w:styleId="BalloonText">
    <w:name w:val="Balloon Text"/>
    <w:basedOn w:val="Normal"/>
    <w:link w:val="BalloonTextChar"/>
    <w:uiPriority w:val="99"/>
    <w:semiHidden/>
    <w:unhideWhenUsed/>
    <w:rsid w:val="0020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541"/>
    <w:rPr>
      <w:rFonts w:ascii="Tahoma" w:hAnsi="Tahoma" w:cs="Tahoma"/>
      <w:sz w:val="16"/>
      <w:szCs w:val="16"/>
    </w:rPr>
  </w:style>
  <w:style w:type="paragraph" w:styleId="NoSpacing">
    <w:name w:val="No Spacing"/>
    <w:uiPriority w:val="1"/>
    <w:qFormat/>
    <w:rsid w:val="00203541"/>
    <w:pPr>
      <w:spacing w:after="0" w:line="240" w:lineRule="auto"/>
    </w:pPr>
  </w:style>
  <w:style w:type="paragraph" w:customStyle="1" w:styleId="paragraph">
    <w:name w:val="paragraph"/>
    <w:basedOn w:val="Normal"/>
    <w:rsid w:val="00E2743C"/>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E2743C"/>
  </w:style>
  <w:style w:type="character" w:customStyle="1" w:styleId="eop">
    <w:name w:val="eop"/>
    <w:basedOn w:val="DefaultParagraphFont"/>
    <w:rsid w:val="00E27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6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4B17D3C04CC148996F2CFA1AF478E9" ma:contentTypeVersion="26" ma:contentTypeDescription="Create a new document." ma:contentTypeScope="" ma:versionID="58e1b5327bc1c6fd5d42ecab3d94e79e">
  <xsd:schema xmlns:xsd="http://www.w3.org/2001/XMLSchema" xmlns:xs="http://www.w3.org/2001/XMLSchema" xmlns:p="http://schemas.microsoft.com/office/2006/metadata/properties" xmlns:ns2="0c7c2184-c75e-4729-b380-7e038b0b7712" targetNamespace="http://schemas.microsoft.com/office/2006/metadata/properties" ma:root="true" ma:fieldsID="1d5e1e5d1ce8ec8ed3ee2b5e42667cf5" ns2:_="">
    <xsd:import namespace="0c7c2184-c75e-4729-b380-7e038b0b77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c2184-c75e-4729-b380-7e038b0b7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DFE6D-2C74-4779-B829-D0098F2CC2DF}">
  <ds:schemaRefs>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0c7c2184-c75e-4729-b380-7e038b0b7712"/>
    <ds:schemaRef ds:uri="http://www.w3.org/XML/1998/namespace"/>
  </ds:schemaRefs>
</ds:datastoreItem>
</file>

<file path=customXml/itemProps2.xml><?xml version="1.0" encoding="utf-8"?>
<ds:datastoreItem xmlns:ds="http://schemas.openxmlformats.org/officeDocument/2006/customXml" ds:itemID="{8E65847E-8583-49D9-9419-13252A1A0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c2184-c75e-4729-b380-7e038b0b7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59E490-FC48-42DE-BC62-B66B66CB770E}">
  <ds:schemaRefs>
    <ds:schemaRef ds:uri="http://schemas.microsoft.com/sharepoint/v3/contenttype/forms"/>
  </ds:schemaRefs>
</ds:datastoreItem>
</file>

<file path=customXml/itemProps4.xml><?xml version="1.0" encoding="utf-8"?>
<ds:datastoreItem xmlns:ds="http://schemas.openxmlformats.org/officeDocument/2006/customXml" ds:itemID="{37D49F68-BCA3-4864-90E1-895129772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Florida Housing Finance Corp.</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Cecka Green</dc:creator>
  <cp:lastModifiedBy>FHFC</cp:lastModifiedBy>
  <cp:revision>2</cp:revision>
  <dcterms:created xsi:type="dcterms:W3CDTF">2020-07-28T14:36:00Z</dcterms:created>
  <dcterms:modified xsi:type="dcterms:W3CDTF">2020-07-28T14:36:00Z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0x0101001A4B17D3C04CC148996F2CFA1AF478E9</vt:lpwstr>
  </property>
  <property fmtid="{D5CDD505-2E9C-101B-9397-08002B2CF9AE}" pid="3" name="SmartDox GUID">
    <vt:lpwstr>be82d33d-ea6d-406e-aeba-679748b7c00e</vt:lpwstr>
  </property>
</Properties>
</file>